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F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533">
        <w:rPr>
          <w:rFonts w:ascii="Times New Roman" w:hAnsi="Times New Roman" w:cs="Times New Roman"/>
          <w:sz w:val="28"/>
          <w:szCs w:val="28"/>
        </w:rPr>
        <w:t>Приложение</w:t>
      </w: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Pr="00982533" w:rsidRDefault="00595E3F" w:rsidP="00595E3F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____________________________Главы города Пскова </w:t>
      </w:r>
      <w:proofErr w:type="spellStart"/>
      <w:r w:rsidR="00982533" w:rsidRPr="00982533">
        <w:rPr>
          <w:rFonts w:ascii="Times New Roman" w:hAnsi="Times New Roman" w:cs="Times New Roman"/>
          <w:b/>
          <w:sz w:val="28"/>
          <w:szCs w:val="28"/>
          <w:u w:val="single"/>
        </w:rPr>
        <w:t>Елкина</w:t>
      </w:r>
      <w:proofErr w:type="spellEnd"/>
      <w:r w:rsidR="00982533" w:rsidRPr="00982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Бориса Андреевича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(Ф.И.О. главы местной администрации городского округа (муниципального района))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533" w:rsidRPr="00982533" w:rsidRDefault="00595E3F" w:rsidP="00595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9825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="000D46C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ие</w:t>
      </w:r>
      <w:r w:rsidR="00680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«Город Псков»</w:t>
      </w:r>
      <w:r w:rsidR="0098253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(наименование городского округа (муниципального района))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C5E" w:rsidRDefault="00982533" w:rsidP="00F5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982533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F57C5E" w:rsidRPr="00F57C5E">
        <w:rPr>
          <w:rFonts w:ascii="Times New Roman" w:hAnsi="Times New Roman" w:cs="Times New Roman"/>
          <w:b/>
          <w:sz w:val="28"/>
          <w:szCs w:val="28"/>
        </w:rPr>
        <w:t>Администрации города Пскова</w:t>
      </w:r>
      <w:proofErr w:type="gramEnd"/>
      <w:r w:rsidR="00F57C5E" w:rsidRPr="00F57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33" w:rsidRPr="00982533" w:rsidRDefault="00982533" w:rsidP="00F5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 xml:space="preserve">за 2022 год и их планируемых </w:t>
      </w:r>
      <w:proofErr w:type="gramStart"/>
      <w:r w:rsidRPr="00982533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  <w:r w:rsidRPr="00982533">
        <w:rPr>
          <w:rFonts w:ascii="Times New Roman" w:hAnsi="Times New Roman" w:cs="Times New Roman"/>
          <w:b/>
          <w:sz w:val="28"/>
          <w:szCs w:val="28"/>
        </w:rPr>
        <w:t xml:space="preserve"> на 3-летний период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P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Подпись ___________________________</w:t>
      </w: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Дата ___________________________</w:t>
      </w:r>
      <w:proofErr w:type="gramStart"/>
      <w:r w:rsidRPr="00982533">
        <w:rPr>
          <w:rFonts w:ascii="Times New Roman" w:hAnsi="Times New Roman" w:cs="Times New Roman"/>
        </w:rPr>
        <w:t>г</w:t>
      </w:r>
      <w:proofErr w:type="gramEnd"/>
      <w:r w:rsidRPr="00982533">
        <w:rPr>
          <w:rFonts w:ascii="Times New Roman" w:hAnsi="Times New Roman" w:cs="Times New Roman"/>
        </w:rPr>
        <w:t>.</w:t>
      </w:r>
    </w:p>
    <w:p w:rsidR="00C61F36" w:rsidRDefault="00C61F36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C55" w:rsidRDefault="00401C55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68"/>
        <w:gridCol w:w="1657"/>
        <w:gridCol w:w="1116"/>
        <w:gridCol w:w="1116"/>
        <w:gridCol w:w="1116"/>
        <w:gridCol w:w="1116"/>
        <w:gridCol w:w="1116"/>
        <w:gridCol w:w="1123"/>
        <w:gridCol w:w="3328"/>
      </w:tblGrid>
      <w:tr w:rsidR="00982533" w:rsidRPr="00982533" w:rsidTr="00437D8C">
        <w:trPr>
          <w:trHeight w:val="551"/>
          <w:tblHeader/>
        </w:trPr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pct"/>
            <w:vMerge w:val="restart"/>
            <w:shd w:val="clear" w:color="auto" w:fill="auto"/>
            <w:noWrap/>
            <w:vAlign w:val="center"/>
            <w:hideMark/>
          </w:tcPr>
          <w:p w:rsidR="00982533" w:rsidRPr="00D5597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982533" w:rsidRPr="00D5597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9" w:type="pct"/>
            <w:gridSpan w:val="6"/>
            <w:shd w:val="clear" w:color="auto" w:fill="auto"/>
            <w:noWrap/>
            <w:vAlign w:val="center"/>
            <w:hideMark/>
          </w:tcPr>
          <w:p w:rsidR="00982533" w:rsidRPr="00982533" w:rsidRDefault="002D4389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информация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982533" w:rsidRPr="0098253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2533" w:rsidRPr="00982533" w:rsidTr="00982533">
        <w:trPr>
          <w:trHeight w:val="20"/>
          <w:tblHeader/>
        </w:trPr>
        <w:tc>
          <w:tcPr>
            <w:tcW w:w="204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7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33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" w:type="pct"/>
            <w:shd w:val="clear" w:color="auto" w:fill="auto"/>
            <w:hideMark/>
          </w:tcPr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</w:t>
            </w:r>
          </w:p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10 тыс. человек населения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67" w:type="pct"/>
            <w:shd w:val="clear" w:color="auto" w:fill="auto"/>
            <w:hideMark/>
          </w:tcPr>
          <w:p w:rsidR="00F57C5E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Росстатом один раз в 5 лет на основании данных сплошного наблюдения за деятельностью субъектов малого и среднего предпринимательства.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 итогам сплошного наблюдения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деятельностью субъектов предпринимательства за 2020 год. 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8" w:type="pct"/>
            <w:shd w:val="clear" w:color="auto" w:fill="auto"/>
            <w:hideMark/>
          </w:tcPr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</w:t>
            </w:r>
          </w:p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внешних совместителей) малых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средних предприятий в среднесписочной численности работников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 всех предприятий и организаций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итогам сплошного наблюдения Росстата за деятельностью субъектов малого и среднего предпринимательства за 2020 год.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8" w:type="pct"/>
            <w:shd w:val="clear" w:color="auto" w:fill="auto"/>
            <w:hideMark/>
          </w:tcPr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инвестиций </w:t>
            </w:r>
          </w:p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капитал</w:t>
            </w:r>
            <w:r w:rsidR="0040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  <w:proofErr w:type="gramEnd"/>
          </w:p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средств)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жителя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29083,6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30669,2*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43922,5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F57C5E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Министерства регионального развития Российской Федерации источником информации является Росстат (форма федерального статистического наблюдения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П-2)</w:t>
            </w:r>
          </w:p>
          <w:p w:rsidR="00982533" w:rsidRPr="00982533" w:rsidRDefault="00C61F36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533"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-уточненные данные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60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437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437D8C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</w:t>
            </w:r>
            <w:r w:rsidR="00982533"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Министерства регионального развития Российской Федерации источником информации является Росстат</w:t>
            </w:r>
            <w:r w:rsidR="00E1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проводится ремонт автомобильных дорог, в среднем уменьшая количество, дорог, не отвечающих нормативным требованиям в общей протяженности автомобильных дорог общего пользования местного значения.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8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ind w:leftChars="-15" w:left="1" w:hangingChars="1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и средних предприятий и некоммерческих организаций 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38930,7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42832,6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46580,4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51667,0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55693,0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59534,00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BF4709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20385,41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21771,62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26910,93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BF4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BF4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1067" w:type="pct"/>
            <w:vMerge w:val="restar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709" w:rsidRPr="00982533" w:rsidTr="00BF4709">
        <w:trPr>
          <w:trHeight w:val="336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32205,28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34525,38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c>
          <w:tcPr>
            <w:tcW w:w="204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Chars="-15" w:left="1" w:hangingChars="1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муниципальных общеобразовательных учреждений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30726,21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34005,16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37763,92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1067" w:type="pct"/>
            <w:shd w:val="clear" w:color="000000" w:fill="FFFFFF"/>
            <w:vAlign w:val="bottom"/>
            <w:hideMark/>
          </w:tcPr>
          <w:p w:rsidR="00BF4709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рассчитан на основании Распоряжения Правительства Псковской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19.01.2023г.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3348-р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27857,74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29606,00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33929,30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E1662D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23528,36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23851,94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27231,36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26913,59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27712,27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27712,27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F4709" w:rsidRPr="00982533" w:rsidTr="00EC5DEF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EC5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обусловлено созданием дополнительных ме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св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 с открытием новых дошкольных учреждений и участие частных дошкольных организаций по программе «Демография»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*- данные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лет, состоящих на учете для определения в муниципальные дошкольные образовательные учреждения,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детей в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1-6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67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обусловлено созданием дополнительных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открытием новых дошкольных учреждений и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частных дошкольных организаций по программе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«Демография»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BF4709" w:rsidRPr="00982533" w:rsidTr="00FE618A">
        <w:trPr>
          <w:trHeight w:val="2891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 капитальный ремонт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«ПТЛ»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</w:t>
            </w:r>
            <w:proofErr w:type="gramEnd"/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2022-2023 учебном году во вторую смену обучается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 человек, что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2% меньше, чем в 2021-2022 учебном году). 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 данной возрастной группы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94,5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парками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физкультурой и спортом, в общей численности обучающихся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численности обучающихся, систематически занимающихся физкультурой и спортом (форма федерального статистического наблюдения № 1-ФК раздел II «Физкультурно-оздоровительная работа» строка 16, сумма значений граф 5, 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численности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возрасте 3-18 лет (включительно) на 1 января отчетного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на одного жителя - всего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год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для строительства в расчете на 10 тыс. человек населения, - всего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земельных участков, предоставленных для жилищного строительства,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комплексного освоения в целях жилищного строительства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363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в 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или подписания протокола о результатах торгов (конкурсов, аукционов) не было получено разрешение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shd w:val="clear" w:color="000000" w:fill="FFFFFF"/>
            <w:hideMark/>
          </w:tcPr>
          <w:p w:rsidR="00BF4709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Законом Псковской области </w:t>
            </w:r>
          </w:p>
          <w:p w:rsidR="00BF4709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26.12.2014 № 1469-ОЗ</w:t>
            </w:r>
          </w:p>
          <w:p w:rsidR="00BF4709" w:rsidRPr="00982533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перераспределении полномочий между органами местного самоуправления муниципальных образований Псковской области и органами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власти Псковской области»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земельных участков находится в компетенции Правительства Псковской области.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138344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106586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37333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должны выбрать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управления данными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домами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«Город Псков» все собственники жилых помещений определились с выбором способа управления многоквартирным домом.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использующих объекты коммунальной инфраструктуры на праве частной собственности, по договору аренды или концессии, участие субъекта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 w:type="page"/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4D4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году, в общей численности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состоящего на учете в качестве нуждающегося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помещениях</w:t>
            </w:r>
            <w:proofErr w:type="gramEnd"/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4D4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(показатель рассчитывался по формуле, где: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численность населения, получившего жилые помещения и улучшившего жилищные условия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01.01.2023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98 семей/249 человек;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численность населения, состоящего на учете в качестве нуждающихся в жилых помеще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ниях на 01.01.2023 -  2673 семьи /8019 человек.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Показатель на 01.01.2023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249:8019х100 (3,1%)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 и неналоговых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 (за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 налоговых доходов по дополнительным нормативам отчислений) в общем объеме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формы собственности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по полной учетной стоимости)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строительства, осуществляемого за счет средств бюджета муниципального,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округа (муниципального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(включая начисления на оплату труда)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1 162,02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4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деятельностью органов местного самоуправления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числа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опрошенных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000000" w:fill="FFFFFF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Инструкцией Министерства регионального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РФ источником информации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органы исполнительной власти субъекта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F4709" w:rsidRPr="00982533" w:rsidTr="00201C2C">
        <w:trPr>
          <w:trHeight w:val="2278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209,883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4D48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Министерства регионального развития РФ источником информации является Росстат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709" w:rsidRPr="004D481E" w:rsidRDefault="00BF4709" w:rsidP="00201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результатов Всероссийской переписи населения.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кВт/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 xml:space="preserve">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потребление электроэнергии в многоквартирных домах с учетом объемов потребления электроэнергии на общедомовые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данным представленным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Псковэнергоагент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201C2C">
        <w:trPr>
          <w:trHeight w:val="704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Гкал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кв. метр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общей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1067" w:type="pct"/>
            <w:vMerge w:val="restart"/>
            <w:shd w:val="clear" w:color="auto" w:fill="auto"/>
            <w:hideMark/>
          </w:tcPr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выполнения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23.11.2009 № 261-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энергосбережении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повышении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энергетической эффективности и о внесении изменений в отдельные законодательные акты 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DF3C83">
        <w:trPr>
          <w:trHeight w:val="465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31" w:type="pct"/>
            <w:vMerge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c>
          <w:tcPr>
            <w:tcW w:w="204" w:type="pct"/>
            <w:vMerge/>
            <w:vAlign w:val="center"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BF4709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количество устанавливаемых приборов учета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(общедомовые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приборы учета и т. д). Уменьшение удельной величины потребления тепловой энергии в 2022 году связано </w:t>
            </w:r>
          </w:p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повышенной температурой воздуха в отопительный сезон. Наряду с этим, увеличение температуры горячей воды, поступающей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в точки водозабора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повлекло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расхода холодной воды.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End"/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Псков» за 2021-2022 год.</w:t>
            </w:r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уточненные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кВт/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 xml:space="preserve">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Гкал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кв. метр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общей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горячая вода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2F7643">
        <w:trPr>
          <w:trHeight w:val="461"/>
        </w:trPr>
        <w:tc>
          <w:tcPr>
            <w:tcW w:w="204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7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31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</w:t>
            </w:r>
            <w:proofErr w:type="gramEnd"/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государственных </w:t>
            </w:r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</w:t>
            </w:r>
            <w:proofErr w:type="gram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 наличии):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струкцией Министерства регионального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РФ источником информации являются органы исполнительной власти субъекта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F4709" w:rsidRPr="00982533" w:rsidRDefault="009E03A8" w:rsidP="00C61F36">
            <w:pPr>
              <w:widowControl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RANGE!P456" w:history="1">
              <w:r w:rsidR="00BF4709" w:rsidRPr="009825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сфере охраны здоровья &lt;*&gt;</w:t>
              </w:r>
            </w:hyperlink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муниципальных, городских округов и муниципальных районов в соответствии с частью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16 Федерального закона «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охраны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Российской Федерации».</w:t>
            </w:r>
          </w:p>
        </w:tc>
      </w:tr>
    </w:tbl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  <w:sectPr w:rsidR="00E41B41" w:rsidSect="009E03A8">
          <w:headerReference w:type="default" r:id="rId10"/>
          <w:headerReference w:type="first" r:id="rId11"/>
          <w:pgSz w:w="16838" w:h="11906" w:orient="landscape"/>
          <w:pgMar w:top="1559" w:right="1134" w:bottom="992" w:left="1134" w:header="709" w:footer="709" w:gutter="0"/>
          <w:cols w:space="708"/>
          <w:titlePg/>
          <w:docGrid w:linePitch="360"/>
        </w:sectPr>
      </w:pPr>
    </w:p>
    <w:p w:rsidR="00710D8F" w:rsidRDefault="00710D8F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A8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</w:t>
      </w:r>
    </w:p>
    <w:p w:rsidR="00960679" w:rsidRPr="00F945BE" w:rsidRDefault="00F945BE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докладу</w:t>
      </w:r>
      <w:r w:rsidR="009E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679"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="00960679"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Андреевича</w:t>
      </w:r>
    </w:p>
    <w:p w:rsidR="00960679" w:rsidRPr="00982533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значениях показателей для оценки эффективности</w:t>
      </w:r>
    </w:p>
    <w:p w:rsidR="00C26533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Пскова </w:t>
      </w:r>
      <w:r w:rsidR="00C26533"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</w:p>
    <w:p w:rsidR="00C26533" w:rsidRDefault="00C26533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планируемых </w:t>
      </w:r>
      <w:proofErr w:type="gramStart"/>
      <w:r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  <w:r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3-летний период</w:t>
      </w:r>
    </w:p>
    <w:p w:rsidR="00C26533" w:rsidRDefault="00C26533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Число субъектов малого и среднего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предпринимательства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расчете на 10 тыс. человек населения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один раз в 5 лет на основании данных сплошного наблюдения за деятельностью субъектов малого и среднего предпринимательства. Последнее наблюдение проводилось за деятельностью субъектов предпринимательства за 2020 год. 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информации является Росстат.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организаций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один раз в 5 лет на основании данных сплошного наблюдения за деятельностью субъектов малого и среднего предпринимательства. Последнее наблюдение проводилось за деятельностью субъектов предпринимательства за 2020 год.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Объем инвестиций в основной капитал (за исключением бюджетных средств) в расчете на 1 жителя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388 Налогового кодекса РФ объектом налогообложения являются земельные участки, находящиеся на праве собственности, праве постоянного (бессрочного) пользования или праве пожизненного наследуемого владения у организаций и физических лиц.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01.06.2009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457 «О Федеральной службе государственной регистрации, кадастра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картографии» функции по организации единой системы государственного кадастрового учета недвижимости и государственной регистрации прав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и сделок с ним осуществляет Федеральная служба государственной регистрации, кадастра и картографии.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данный показатель рассчитывается ежегодно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сведениям из годового отчета Управления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Псковской области.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Доля прибыльных сельскохозяйственных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организаций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общем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их числе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планом проводится ремонт автомобильных дорог, уменьшая количество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протяженности автомобильных дорог общего пользования местного значения.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произведены ремонты и реконструкции на автомобильных дорогах общего пользования местного значения 4-х улиц (протяженностью: 5,453 км, площадью 86321 м²).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в рамках МП «Развитие и содержание улично-дорожной сети города Пскова»: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улично-дорожной сети муниципальн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города Пскова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проект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качественные автомобильные дороги»: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улицы Кузбасской Дивизии (от ул. Никольской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Западной), улицы Западной (от ул. Кузбасской Дивизии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ул. Коммунальной), улицы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ул. Западной до ул. Рокоссовского) в городе Пскове Псковской области (1 пусковой комплекс) (МК № 157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12.2020) - 1,277 км, 22319, </w:t>
      </w:r>
      <w:proofErr w:type="spell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Ремонт Рижского проспекта (на участке от ул. Юбилейной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Балтийской) в городе Пскове (МК № 54 от 21.0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6.2021) – 1,764 км,     37695 </w:t>
      </w:r>
      <w:proofErr w:type="spell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 ул. Труда (участок от дома №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 ул. Труда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Текстильной)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Пскове (МК № 132 от 15.11.2021) – 1,140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14481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Ремонт проезда вдоль домов №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117, 125б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,131, 135 по улице Леона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Поземского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Пскове (МК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 от 20.09.2021) – 1,272 км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11826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0.</w:t>
      </w:r>
    </w:p>
    <w:p w:rsidR="00AF62F4" w:rsidRDefault="00AF62F4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8. Среднемесячная номинальная начисленная заработная плата работников: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 предприятий и некоммерческих организаций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общеобразовательных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учителей муниципальных общеобразовательных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учреждений культуры и искусства;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учреждений физической культуры и спорта.</w:t>
      </w:r>
    </w:p>
    <w:p w:rsidR="009B491F" w:rsidRPr="009B491F" w:rsidRDefault="009B491F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среднемесячной заработной платы работников крупных и средних организаций города Пскова в 2022 году по сравнению с 2021 годом составил 8,8%.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была продолжена работа по выполнению Указа Президента Российской Федерации от 07.05.2012 № 597 «О мероприятиях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социальной политики».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целевых показателей по заработной плате работников муниципальных учреждений в 2022 году происходило в рамках запланированных ассигнований на 2022 год.</w:t>
      </w:r>
    </w:p>
    <w:p w:rsidR="00EE1A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среднемесячной номинальной начисленной заработной платы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муниципальных дошкольных образовательных учреждениях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общеобразовательных учреждениях производится исходя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численности основных работников и внешних совместителей,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EE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за 2022 год.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расчетах учитывает только численность основного персонала, а начисленную заработную плату за 2022 год основного персонала и внешних совместителей суммирует, поэтому возникли расхождения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МКУ «ЦФБО» и данными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номинальной начисленной заработной плате.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C6394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 </w:t>
      </w:r>
      <w:r w:rsidR="001A15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="00C6394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1 - 6 лет</w:t>
      </w:r>
      <w:r w:rsidR="001A15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В 2022 году дошкольным образованием охвачено 12071 детей.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82533">
        <w:rPr>
          <w:rFonts w:ascii="Times New Roman" w:eastAsia="Calibri" w:hAnsi="Times New Roman" w:cs="Times New Roman"/>
          <w:sz w:val="28"/>
          <w:szCs w:val="28"/>
        </w:rPr>
        <w:t>В систему дошкольного образования входят также группы (места) кратковременного пребывания. Данной услугой охвачено 100 детей. Кроме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 54 дошкольных образовательных учреждений (численность воспитанников составляет 11690 детей), услуги дошкольного образования предоставляют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2533">
        <w:rPr>
          <w:rFonts w:ascii="Times New Roman" w:eastAsia="Calibri" w:hAnsi="Times New Roman" w:cs="Times New Roman"/>
          <w:sz w:val="28"/>
          <w:szCs w:val="28"/>
        </w:rPr>
        <w:t>5 дошкольных отделений на базах общеобразовательных учреждений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(381 дошкольник). Основной проблемой в решении задачи «Обеспечение общедоступного бесплатного дошкольного образования» является нехватка мест для детей младшего дошкольного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982533">
        <w:rPr>
          <w:rFonts w:ascii="Times New Roman" w:eastAsia="Calibri" w:hAnsi="Times New Roman" w:cs="Times New Roman"/>
          <w:sz w:val="28"/>
          <w:szCs w:val="28"/>
        </w:rPr>
        <w:t>(от 1,5 до 3 лет). Главной причиной является повышение рождаемости и большое количество приезжающих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2533">
        <w:rPr>
          <w:rFonts w:ascii="Times New Roman" w:eastAsia="Calibri" w:hAnsi="Times New Roman" w:cs="Times New Roman"/>
          <w:sz w:val="28"/>
          <w:szCs w:val="28"/>
        </w:rPr>
        <w:t>на работу в город Псков из районов Псковской области.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решения данной проблемы в муниципальном образовании «Город Псков» в рамках федерального проекта «Демография» в 2022 году открылись новые детские сады: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- МБДОУ «Детский сад № 58 «Юниор-Парк» на 140 мест по адресу</w:t>
      </w:r>
      <w:r w:rsidR="001A1552">
        <w:rPr>
          <w:rFonts w:ascii="Times New Roman" w:eastAsia="Calibri" w:hAnsi="Times New Roman" w:cs="Times New Roman"/>
          <w:sz w:val="28"/>
          <w:szCs w:val="28"/>
        </w:rPr>
        <w:t>: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г. Псков, ул. Юности, 30;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-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>Здание 2 МБДОУ «Детский сад № 50 «Красная шапочка» на 120 мест по адресу</w:t>
      </w:r>
      <w:r w:rsidR="001A1552">
        <w:rPr>
          <w:rFonts w:ascii="Times New Roman" w:eastAsia="Calibri" w:hAnsi="Times New Roman" w:cs="Times New Roman"/>
          <w:sz w:val="28"/>
          <w:szCs w:val="28"/>
        </w:rPr>
        <w:t>: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 г. Псков, ул. Коммунальная, 56.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детей в возрасте 1 - 6 лет, состоящих на учете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для определения в муниципальные дошкольные образовательные учреждения, 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общей численности детей в возрасте 1 - 6 лет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F945BE" w:rsidP="00C15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 связи с открытием дополнительных мест, доля детей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1-6 лет, стоящих в электронной очереди на получение места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в дошкольном учреждении гор</w:t>
      </w:r>
      <w:r w:rsidR="001A1552">
        <w:rPr>
          <w:rFonts w:ascii="Times New Roman" w:eastAsia="Calibri" w:hAnsi="Times New Roman" w:cs="Times New Roman"/>
          <w:sz w:val="28"/>
          <w:szCs w:val="28"/>
        </w:rPr>
        <w:t>ода Пскова, значительно уменьшила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сь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и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   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1,7%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за 2022 год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(показатель 2021 года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- 13%).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Управлению образования Администрации города Пскова муниципальных дошкольных образовательных учреждений, здания которых находятся в аварийном состоянии или требуют капитального ремонта, не числится.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и дополнительное образование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br/>
        <w:t>в общей численности выпускников муниципальных общеобразовательных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учреждений</w:t>
      </w:r>
      <w:r w:rsidR="00D113A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Особенностью Единого государственного экзамена (ЕГЭ) 2022 года было участие в экзаменах выпускников 11-х классов, которые на протяжении 2-х лет из-за пандемии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обучались преимущественно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1D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дистанционном формате. Тем не менее, результаты </w:t>
      </w:r>
      <w:r w:rsidR="001A1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ЕГЭ выпускников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Пскова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остались стабильными и по большинству предметов традиционно превосходят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среднеобластные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результатам ЕГЭ в 2022 году не смогли преодолеть минимальный порог и не получили аттестаты 13 человек (1,1%). В 2021 году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было 27.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Всего по разным причинам (не сдача ЕГЭ, не допуск к итоговой аттестации, не явка на экзамен</w:t>
      </w:r>
      <w:r w:rsidR="001A1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получили аттестаты 27 человек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1202 (2,2%). В основном, это обучающиеся МБОУ «Вечерняя (сменная) общеобразовательная школа №</w:t>
      </w:r>
      <w:r w:rsidR="001D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1», имеющие значительные образовательные пробелы и низкую учебную мотивацию. В 2021 году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аттестаты не получили   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48 выпускников.</w:t>
      </w:r>
    </w:p>
    <w:p w:rsidR="005B0E58" w:rsidRPr="00982533" w:rsidRDefault="005B0E58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общеобразовательных учреждений</w:t>
      </w:r>
      <w:r w:rsidR="005B0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F945BE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продолжалась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оборудования (оборудование учебных кабинетов), оснащение медицинских кабинетов для проведения процедуры передачи в безвозмездное пользование ГБУЗ «Псковская городская детская поликлиника» с подготовкой документации для последующего лицензирования медицинской деятельности.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устранение аварийных ситуаций, проведение ремонтных работ и замена инженерно-технических коммуникаций позволяют поддерживать здания муниципальных общеобразовательных учреждений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удовлетворительном состоянии. В 2022 году проводился капитальный ремонт здания МБОУ «Псковский технический лицей», производился капитальный ремонт фасада, кровли здания, технических коммуникаций, капитальный ремонт внутренних помещений здания. Работы выполнены, учреждение работает в штатном режиме с 09 января 2023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ведомственного регионального проекта «Модернизация школьных систем образования Псковской области» проводился частичный капитальный ремонт в следующих общеобразовательных учреждениях, подведомственных Управлению образования Администрации города Пскова: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МАОУ «Лицей экономики и основ предпринимательства №10»;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МБОУ «Средняя общеобразовательная школа №16 имени Героя России Алексея Воробьева»;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МБОУ «Естественно-математический лицей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20»;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МБОУ «Социально-экономический лицей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имени Героя России С.В. Самойлова»;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«Средняя общеобразовательная школа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имени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Малякова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МБОУ «Центр образования «Псковский педагогический комплекс»;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МБОУ «Псковская общеобразовательная школа-интернат».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16. Доля детей первой и второй групп здоровья в общей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численности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в муниципальных общеобразовательных учреждениях</w:t>
      </w:r>
      <w:r w:rsidR="00875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Удержание значения показателя за 2022 год на уровне 79% обусловлено проведением ряда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(введение третьего часа физической культуры в учебный план, активно проводимой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профилактической работой по культуре питания).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численности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в муниципальных общеобразовательных учреждениях</w:t>
      </w:r>
      <w:r w:rsidR="00875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 утверждено общее количество классов-комплектов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образования, – 1020 классов-комплектов с общей численностью обучающихся – 27512 человек, в том числе: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- 942 класса для обучающихся по основным общеобразовательным программам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26676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классов для обучающихся по адаптированным образовательным программам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 - 822 человека;</w:t>
      </w:r>
      <w:proofErr w:type="gramEnd"/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класса для детей с </w:t>
      </w:r>
      <w:r w:rsidR="00875AF2" w:rsidRP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тяжелыми множественными нарушениями развития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детей с </w:t>
      </w:r>
      <w:r w:rsidR="00875AF2" w:rsidRP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1045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детей-инвалидов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259 человек.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в 2022-2023 учебном году во вторую смену обучается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6707 человек в 20 образовательных учреждениях, что составляет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24%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обучающихся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2% меньше, чем в 2021-2022 учебном году). 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2022 года сдано в эксплуатацию новое муниципальное бюджетное общеобразовательное учреждение «Гимназия № 29» с проектной мощностью 825 мест, продолжается строительство новой школы в районе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Завеличье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525 мест.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школ позволит осуществить частичную разгрузку второй смены обучения в школах, а также существенно повысить доступность качественного школьного образования во второй половине дня, так как появится возможность в полном объеме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внеурочную деятельность в рамках ФГОС общего образования, организовать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образовательным программам.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Расходы бюджета муниципального образования на общее образование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 расчете на 1 обучающегося в муниципальных общеобразовательных учреждениях</w:t>
      </w:r>
      <w:r w:rsidR="00D113A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в 2022 году связан с увеличением расходов за счет межбюджетных трансфертов (всего в 2022 году - 2 052 306,7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1 577 988,4 тыс. руб.).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средства были направлены на расходы, связанные со строительством школ по ул. Юбилейной (825 мест)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Киселева (525 мест) в рамках реализации федерального проекта «Современная школа» (всего 571 687,2 тыс. руб.,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федерального и областного бюджета - 565 969,0 тыс. руб.), а также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расходы, связанные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проведением ремонтно-реставрационных работ МБОУ «ПТЛ» в целях соблюдения требований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воздушно-тепловому режиму, водоснабжению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канализации (332 718,1 тыс. руб.,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федерального и областного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- 313 205,7 тыс. руб.). Увеличение планового показателя в 2023 году также связано с увеличением расходов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вышестоящих бюджетов,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продолжение строительства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модернизацию инфраструктуры школы по ул. Киселева на 525 мест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(475 532,7 тыс. руб.,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федерального и областного бюджета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446 545,3 тыс. руб.). Плановые показатели на 2024 и 2025 гг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уточнению при разработке проекта бюджета в следующем бюджетном цикле.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Доля детей в возрасте 5-18 лет, получающих услуги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br/>
        <w:t>по дополнительному образованию в организациях различной организационно-правовой формы и формы собственности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 общей численности детей данной возрастной группы</w:t>
      </w:r>
      <w:r w:rsidR="00875AF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«Реализация дополнительных общеобразовательных программ» учреждениями дополнительного образования в 2022 году реализо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валась на базе 7 муниципальных учреждений дополнительного образования, подведомственных Управлению образования Администрации города Пскова. В данных учреждениях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 программам обучалось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10750 детей и подростков в возрасте от 5 до 18 лет, что на 246 человек больше, чем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году. Для детей работали 758 объединений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естественнонаучной (66), физкультурно-спортивной (87), художественной (287), туристско-краеведческой (74), социально-гуманитарной (150), технической (94) направленностям (в 2021 году – 435 объединений).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проекта «Успех каждого ребенка» национального проекта «Образование» в 29 муниципальных образовательных учреждениях создано в соответствии с квотой 851 новое место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дополнительного образования по трем направлениям: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естественно-научное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техническое, физкультурно-спортивное.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Уровень фактической обеспеченности учреждениями культуры</w:t>
      </w:r>
      <w:r w:rsidR="00C6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нормативной потребности:</w:t>
      </w:r>
    </w:p>
    <w:p w:rsidR="00960679" w:rsidRPr="00982533" w:rsidRDefault="00C61F36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клубами и учреждениями клубного типа, библиотеками, парками культуры и отдыха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 2022 г. работали: 11 библиотек, 3 учреждения культурно-досугового типа.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число жителей на одну библиотеку – 19006 человек.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охвата населения библиотечным обслуживанием на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составляет - 24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%. Число пользователей городских библиотек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49869 человек. Количество посещений составило – 289084 человек. Количество обращений к сайтам составило – 489146.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процент выполнения за 2022 год: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посещений составляет 144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%; по количеству вы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документов составляет 102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%; по количеству пользователей составляет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количеству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сайта составляет 349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«ЦБС» г. Пскова провело 1893 мероприятия, которые посетили 43797 человек.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книгоиздательской продукции – 12280 экземпляров изданий (печатные, электронные).</w:t>
      </w:r>
      <w:proofErr w:type="gramEnd"/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9563 экземпляров новых книг, из них 5683 экземпляров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 2021-2022 гг.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учреждениях культуры (МБУК «Городской культурный центр», МБУК «Дом офицеров», МБУ «Планетарий») в 2022 году проведено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1793 мероприятия, которые посетило 466600 жителей и гостей города.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Доля муниципальных учреждений культуры, здания которых находятся в аварийном состоянии или требуют капитального ремонта,</w:t>
      </w:r>
      <w:r w:rsidR="00636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общем количестве муниципальных учреждений культуры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ремонте нуждаются следующие учреждения культуры: МБ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«Городской культурный центр»,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«Дом офицеров».</w:t>
      </w:r>
    </w:p>
    <w:p w:rsidR="00960679" w:rsidRPr="00787761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МБУК «Городской культурный центр» (пл. Победы, д.1) </w:t>
      </w:r>
      <w:r w:rsidR="0029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6589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лестничных маршей,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здания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внутреннего противопожарного водопровода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корректировке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«Капитальный ремонт здания» 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2 570 969 рублей</w:t>
      </w:r>
      <w:r w:rsid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«Дом офицеров» является объектом культурного наследия – памятник: «Казармы Омского полка», 1903 года постройки. Расположено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Псков, ул. Комдива Кирсанова, д. 5. </w:t>
      </w:r>
    </w:p>
    <w:p w:rsidR="00960679" w:rsidRPr="00787761" w:rsidRDefault="00787761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«Дом офицеров»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конструкции на сцене,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трубы системы кондиционирования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кабинетов,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оконных блоков из ПВХ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парапетов оконных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натяжных потолков,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пола в концертом зале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электромонтажные работы по ремонту уличного освещения здания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272419,6 рублей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внебюджетные средства на сумму 485270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Доля объектов культурного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наследия, находящихся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муниципальной собственности и требующих консервации или реставрации, в общем количестве объектов культурного наследия, находящихся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муниципальной собственности</w:t>
      </w:r>
      <w:r w:rsidR="00735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муниципальной собственности находится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64 объекта культурного наследия (далее – ОКН).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прогнозному плану (программе) приватизации муниципального имущества года Пскова на 2022 год к приватизации предлагались следующие объекты: «Дом жилой. 1948 г.»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Труда, д. 4),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помещение в ОКН, не влияющее на общее количество ОКН (помещение 1001 в ОКН,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 42).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общее количество ОКН,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уменьшилось. Продан объект культурного наследия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значения «Дом жилой», 1948 г.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ремонтно-реставрационные работы на объекте культурного наследия регионального значения «Гимназия Мариинская женская (учебный корпус с жилым флигелем)» (здание МБОУ «Псковский технический лицей») по адресу: г. Псков, ул. Некрасова, д. 9.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2022 год доля объектов культурного наследия, находящихся в муниципальной собственности и требующих консервации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реставрации, в общем количестве объектов культурного наследия, находящихся в муниципальной собственности снизилась.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снижение показателя в 2023 году зависит от объема проведения ремонтно-реставрационных работ и результатов конкурсных процедур.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23. Доля населения, систематически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занимающихся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физической культурой и спортом</w:t>
      </w:r>
      <w:r w:rsidR="00735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телевидении.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Псков» осуществляют деятельность восемь спортивных школ: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«Спортивная школа олимпийского резерва по плаванию «Барс», МБУ «Спортивная школа «Ника», МБУ «Спортивная школа олимпийского резерва «Надежда»,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«Спортивная школа «Гармония», МБУ «Спортивная школа «Лидер», МБУ «Спортивная школа «Мастер», МБУ «Спортивная школа по футболу «Стрела», МБУ «Спортивная школа «Бригантина». </w:t>
      </w:r>
      <w:proofErr w:type="gramEnd"/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городе функционирует МБУ «Стадион «Машиностроитель», который осуществляет прием нормативов ГТО у взрослого населения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70 лет и старше, и МБУ ДООСЦ «Юность», который осуществляет прием нормативов ГТО у детей и молодежи в возрасте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учреждения, подведомственные Комитету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культуре, спорту и делам молодежи Администрации города Пскова, имеют собственные сайты, которые постоянно обновляются и имеют доступную информацию для населения города.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культивируется 75 видов спорта и двигательной активности, работают федерации и организации по 52 видам спорта, которые вносят предложения в календарный план, разрабатывают положения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соревнованиях, осуществляют подготовку и проведение соревнований.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было присвоено и подтверждено 1783 разряда, из которых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 спортивных разрядов по итогам ходатайств, поданных спортивными федерациями и организациями.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было проведено порядка 400 спортивных мероприятий, сборные команды города Пскова приняли участие более чем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ч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атах и п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ервенствах Псковской области, соревнованиях СЗФО, всероссийских соревнованиях.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Пскова из базовых видов спорта наибольшее распространение имеет футбол –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3882 человека, волейбол – 3161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плавание –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3961 человек, легкая атлетика – 2421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выдающимся спортсменам муниципалитета, достигших высоких результатов в 2022 году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Спиридонова Наталья – победитель Первенства России по легкой атлетике (юниоры до 23 лет),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Шабанов Константин – призер Чемпионата России по легкой атлетике,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 Филипп – призер Чемпионата России по легкой атлетике,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Стволов Денис - победитель Первенства России по тхэквондо ИТФ.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пользуются такие клубы как «Планка», «Оазис», «СКАВ»,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фитнес», «Супер - фитнес»,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ForaGym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«X -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многие другие.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городе Пскове функционирует 34 физкультурно-спортивных клуба (независимо от ведомственной принадлежности), в которых занимаются порядка 16 тысяч человек различных возрастных категорий населения, работает 61 специалист, из них 29 специалистов в возрасте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территории города Пскова проводятся: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среди общеобразовательных учреждений города Пскова «Школьные игры» (учебный год 2022-2023 г.р.);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учащихся СПО (2022-2023 г.р.);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спартакиада среди трудовых коллективов предприятий и организаций города Пскова (2022 год).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были проведены следующие массовые спортивные мероприятия: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</w:t>
      </w:r>
      <w:r w:rsidR="00E6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по борьбе дзюдо, посвященный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героев</w:t>
      </w:r>
      <w:r w:rsidR="00C6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6-й роты 104 </w:t>
      </w:r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полка 76-й гвардейской </w:t>
      </w:r>
      <w:proofErr w:type="spellStart"/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десантно</w:t>
      </w:r>
      <w:proofErr w:type="spellEnd"/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штурмовой Черниговской Краснознаменной дивизии,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легкоатлетическая эстафета на призы газеты «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посвященная 77-летию Победы в Великой Отечественной войне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1941 - 1945 гг.,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соревнования -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«Кубок Освобождения», п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освященные празднованию 78-летия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освобождения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немецко-фашистских захватчиков,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фестиваль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sup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серфинга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PskovSupFest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забег «Мы – чемпионы», посвященный Международному дню защиты детей.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организации оздоровительной работы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людьми пожилого возраста. Проводятся занятия для людей пожилого возраста на стадионе «Машиностроитель», в бассейнах города Пскова организованы занятия по плаванию по льготной системе оплаты, в некоторых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спортивных клубах действует система скидок и льгот для данной категории населения, а также проводится спартакиада среди людей пенсионного возраста.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«Спортивная школа олимпийского резерва «Надежда» функционирует отделение адаптивной физической культуры,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занимается 84 человек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– спорт лиц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интеллектуальными нарушениями; 42 – спорт глухих; 16 – спорт лиц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повреждение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37 – дети в возрасте до 18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Пскова за 2022 год, согласно статистическому отчету были введены в эксплуатацию (программа «Газпром - детям»): пришкольный стадион на стадионе «Электрон», универсальная спортивная площадка: МБОУ «СОШ № 3» (зимний вариант), МБОУ «Псковская общеобразовательная школа-интернат» (летний вариант),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Кузбасской Д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ивизии.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Псков»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 действует муниципальная программа «Развитие физической культуры и спорта, организация отдыха и оздоровления детей»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Псков» на 2022-2027 годы, утвержденная Постановлением Администрации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20.12.2021 № 1886.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23.1. Доля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систематически занимающихся физкультурой и спортом, в общей численности обучающихся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общеобразовательных учреждениях 27186 человек посещает уроки по физической культуре, 10310 человек занимаются в спортивных секциях.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среди учащихся проведены соревнования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мини-баскетболу, волейболу, футболу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муниципальный фестиваль ВФСК «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спартакиада допризывной молодежи, 2 первенства по пулевой стрельбе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 Также учащиеся приняли участие в соревнованиях «Кросс Наций», Первенстве СЗФО по мини-футболу среди школьников «Мини-футбол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школу». Общий охват участников порядка 2500 человек. Учащиеся общеобразовательных учреждений приняли участие во всех видах спорта областной спартакиады учащихся.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Общая площадь жилых помещений, приходящаяся в среднем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одного жителя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введено в эксплуатацию 6 жилых домов (989 квартир), общей площадью – 68 534 кв. м, общей площадью жилых помещений –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48 026 кв. м.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строительство пяти многоквартирных жилых домов для детей-сирот, детей, оставшихся без попечения родителей,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их числа в городе Пскове в районе улиц Колхозная, Лермонтова, Новгородская.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рамках реализации четвертого этапа областной адресной программы «Переселение граждан из аварийного жилищного фонда в 2019 -2025 годах» продолжится строительство многоквартирного жилого дома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ул. Юности и ул. Инженерной.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продолжится застройка 14 и 15 микрорайонов в районе пересечения ул. Инженерной и ул. Юности.</w:t>
      </w:r>
    </w:p>
    <w:p w:rsidR="003A63F5" w:rsidRPr="00982533" w:rsidRDefault="003A63F5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земельных участков, предоставленных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строительства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показателя 25 учитывались только земельные участки, находящиеся в муниципальной собственности, распоряжение которыми осуществляется органами местного самоуправления.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части 3 статьи 2 Закона Псковской области от 26.12.2014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1469-ОЗ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области», распоряжение земельными участками, государственная собственность на которые не разграничена, в городе Пскове осуществляется Администрацией Псковской области или уполномоченным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органом исполнит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власти Псковской области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земельных ресурсов.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планируемых значений показателя в 2022 году был объявлен 1 аукцион на право заключения договора аренды муниципального земельного участка: г. Псков, ул.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1-я, д. 2 – для строительства объекта капитального строительства, предназначенного для оказания населению или организациям бытовых услуг.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предоставлен в аренду 1 земельный участок: г. Псков, ул.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1-я, д. 2 (площадью 2740,0 кв. м) –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объекта капитального строительства, предназначенного для оказания населению или организациям бытовых услуг.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многодетной семье Администрацией города Пскова был предоставлен 1 земельный участок: г. Псков, пер. Трудовой, д. 8, (площадью 832,0 кв. м) – для индивидуального жилищного строительства.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Площадь земельных участков, предоставленных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для строительства, в отношении которых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даты принятия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 предоставлении земельного участка или подписания протокола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результатах торгов (конкурсов, аукционов) не было получено разрешение на ввод в эксплуатацию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жилищного строительства - в течение 3 лет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иных объектов капитального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строительства –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лет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Псковской области </w:t>
      </w:r>
      <w:r w:rsidR="00D63EFB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26.12.2014 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1469-ОЗ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перераспределении полномочий между органами местного самоуправления муниципальных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Псковской области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государственной власти Псковской области»» предоставление земельных участков находится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компетенции Правительства Псковской области. Информация представлена Комитетом по управлению государственным имуществом Псковской области.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помещений должны выбрать способ управления данными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домами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Псков» все собственники жилых помещений определились с выбором способа управления многоквартирным домом.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98253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газо-, электроснабжению, водоотведению, очистке сточных вод, утилизации (захоронению) твердых бытовых отходов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использующих объекты коммунальной инфраструктуры на праве частной собственности,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договору аренды или концессии, участие субъекта Российской Федерации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осуществляющих</w:t>
      </w:r>
      <w:proofErr w:type="gramEnd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свою деятельность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территории муниципального городского округа (муниципального района)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№ 185-ФЗ для подачи заявки для получения денежных средств из Фонда реформирования ЖКХ на капитальный ремонт 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переселение граждан из ветхого жилья необходимо, чтобы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данных </w:t>
      </w:r>
      <w:r w:rsidR="001B0D0C" w:rsidRP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коммунального комплекса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количестве </w:t>
      </w:r>
      <w:r w:rsidR="001B0D0C" w:rsidRPr="001B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организаций коммунального комплекса</w:t>
      </w:r>
      <w:r w:rsidR="005C1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01.01.2010 по 01.01.2011 г. составляла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50%.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01.01.2011 года -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80%.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01.01.2023 процент остается неизменным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размере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80%.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управления жилым фондом города, реализации изменений в жилищном законодательстве за 2022 год в рамках муниципального жилищного контроля проверок не проводилось.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 и индивидуальных предпринимателей в 2022 году не проводились на основании статьи 26.2.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контроля», согласно которой с 01.01.2019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31.12.2022 в отношении юридических лиц и ИП, отнесенных к субъектам малого предпринимательства, плановые проверки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вышеуказанными требованиями план проведения плановых проверок по осуществлению муниципального жилищного контроля на 2022 год Администрацией города Пскова не утверждался.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г.</w:t>
      </w:r>
      <w:r w:rsidRPr="0098253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продолжились работы по постановке на государственный кадастровый учет земельных участков под многоквартирными жилыми домами. Уровень выполненных работ составил 99,7 процентов.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населения, получившего жилые помещения и улучшившего жилищные условия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отчетном году, в общей численности населения,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состоящего на учете в качестве нуждающегося 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жилых помещениях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улучшили жилищные условия 249 человек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(98 семей), состоящих на учете нуждающихся в жилых помещениях, в том числе обеспечены: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- 67 человек (19 семей) - жилыми помещениями по договору социального найма;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- 78 человек (35 семей) - жилыми помещениями по договору коммерческого найма;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- 8 человек (4 семьи) – по договору безвозмездного пользования жилым помещением, специально оборудованным для проживания граждан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опорно-двигательного аппарата;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- 21 человек (19 семей) приобрели жилые помещения путем реализации субсидий за счет средств федерального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60679" w:rsidRPr="00982533" w:rsidRDefault="00C61F36" w:rsidP="00C1556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(6 семей) – ветеранов боевых действий;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(10 семей) – инвалиды по общему заболеванию;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(3 семьи) – путем реализации государ</w:t>
      </w:r>
      <w:r w:rsidR="0021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жилищного сертификата;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- 75 человек (21 семья) – участники подпрограммы «Обеспечение жильем молодых семей Псковской области».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показа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 2022 год составляет 2,2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%, фактическое выполнение за 12 месяцев – 3,1%, уровень выполнения составляет 140,9%.</w:t>
      </w:r>
      <w:r w:rsidR="00960679"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Прогнозный показатель на 2023, 2024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2025 годы предусмотрен на уровне достигнутого в 2022 году – 3,1%.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муниципального управления</w:t>
      </w:r>
    </w:p>
    <w:p w:rsidR="00960679" w:rsidRPr="00686435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 Доля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налоговых и неналоговых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 местного бюджета</w:t>
      </w:r>
      <w:r w:rsidR="00AF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поступлений налоговых доходов по дополнительным нормативам отчислений) в общем объеме собственных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 бюджета муниципального образования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учета субвенций)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сроками представления показателей для оценки эффективности деятельности органов местного самоуправления за 2022 год - показатель на 2023 год рассчитан по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решением Псковской городской Думы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23.12.2022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бюджете города Пскова на 2023 год и плановый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период 2024 и 2025 годов» и равен 33,9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Показатель на 2024 и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2025 годы определен по данным бюджета города Пскова на 2023 год и плановый период 2024 и 2025 годов в соответствии с решением Псковской городской Думы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23.12.2022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равен 36,5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39,2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6950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значение показателя </w:t>
      </w:r>
      <w:proofErr w:type="gramStart"/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способствовало: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основных фондов организаций муниципальной формы собственности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закрепления за ними муниципального имущества на праве хозяйственного ведения для ведения уставной деятельности;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уменьшение стоимости основных фондов организаций муниципальной формы собственности, находящихся в стадии банкротства путем реализации имущества, включенного в конкурсную массу.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 в стадии банкротства муниципальные предприятия не числятся.</w:t>
      </w:r>
    </w:p>
    <w:p w:rsidR="00695009" w:rsidRPr="00982533" w:rsidRDefault="0069500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 завершенного 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установленные сроки строительства, осуществляемого за счет средств бюджета муниципального, городского округа (муниципального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завершенного в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строительства, осуществляемого за счет средств бюджета городского округа в 2022 году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34. Доля просроченной</w:t>
      </w:r>
      <w:r w:rsidR="00C61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</w:t>
      </w:r>
      <w:r w:rsidR="00C61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оплату труда (включая начисления на оплату труда)</w:t>
      </w:r>
      <w:r w:rsidR="00695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60679" w:rsidRPr="00982533" w:rsidRDefault="00960679" w:rsidP="00EE1A3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отчетную дату просроченная кредиторская задолженность по оплате труда 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начислениям на оплату труда отсутствует.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 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в 2022 году обусловлено увеличением минимального размера оплаты труда с 12 792 руб. до 13 890 руб. с 01.01.2022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13 890 руб.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15 279 руб. с 01.06.2022.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учтены данные о расходах на содержание работников органов местного самоуправления, которые соответствуют кодам КОСГУ «210», «222», «226», «227», «266», «267» и подразделам классификации расходов 0102, 0103, 0104, 0106, 0113, а также по остальным подразделам, на которые отнесены расходы на руководство и управление в сфере установленных функций.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плановых показателей на 2023-2025 годы произведен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бюджетными ассигнованиями, утвержденными решением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города Пскова в ред. от 03.03.2023, и учитывает индексацию окладов муниципальным служащим и лицам, не являющимся муниципальными служащими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замещающим должности муниципальной службы,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01.10.2022 на 4%.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36. 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Псковской городской Думы от 19 февраля 2010 г. № 1125 утвержден Генеральный план муниципального образования «Город Псков». 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37. Удовлетворенность населения деятельностью органов местного самоуправления муниципального, городского округа (муниципального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Инструкцией Министерства регионального развития Российской Федерации источником информации является орган исполнительной власти субъекта Российской Федерации.</w:t>
      </w:r>
    </w:p>
    <w:p w:rsidR="00960679" w:rsidRPr="00982533" w:rsidRDefault="00960679" w:rsidP="00C1556E">
      <w:pPr>
        <w:widowControl w:val="0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 Среднегодовая численность постоянного населения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города Пскова в 2022 году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191013 чел., в 2021 году - 209250 чел.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AF62F4" w:rsidRPr="00982533" w:rsidRDefault="00AF62F4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35" w:rsidRDefault="00960679" w:rsidP="00686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Удельная величина потребления энергетических ресурсов 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многоквартирных домах</w:t>
      </w:r>
      <w:r w:rsidR="00695009"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686435" w:rsidRDefault="00960679" w:rsidP="00686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величина потребления электрической энергии в плановом периоде уменьшается в связи с</w:t>
      </w:r>
      <w:r w:rsidRPr="0098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количества</w:t>
      </w:r>
      <w:r w:rsidRPr="0098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оснащенных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энергосберегающим оборудованием, приборами учета.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положений Федерального Закона от 23.11.2009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увеличивается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количествово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устанавливаемых приборов учета коммунальных ресурсов (общедомовые индивидуальные приборы учета и т. д).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удельной величины потребления тепловой энергии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связано с повышенной температурой воздуха в отопительный сезон. Наряду с этим, увеличение 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горячей воды, поступающей населению в точки водозабора повлекло</w:t>
      </w:r>
      <w:proofErr w:type="gram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EC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 холодной воды.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</w:t>
      </w:r>
      <w:proofErr w:type="gram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</w:t>
      </w:r>
      <w:proofErr w:type="spellStart"/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Псков»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сведений о плановых значениях количества абонентов на 2023, 2024 и 2025 годы и соответствующих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плановых объемах потребления газа,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плановых показателей удельного потребления газа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2023, 2024 и 2025 год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 возможным.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150,0*,150,0*,148* - уточненные данные за 2020,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40. Удельная величина потребления энергетических ресурсов муниципальными бюджетными учреждениями</w:t>
      </w:r>
      <w:r w:rsid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удельных величин потребления электроэнергии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2021 годом связано с вводом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годах новых учреждений: МАОУ «Псковская Гимназия № 28», МБДОУ № 50 «Красная шапочка» (филиал), МБДОУ № 58 «Юниор-Парк»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открытием Стадиона «Машиностроитель»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реконструкции.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энергоресурсов в текущем году и плановом периоде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 годов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на уровне отчетного года.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41. </w:t>
      </w:r>
      <w:proofErr w:type="gramStart"/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(по данным официального сайта для размещения информации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государственных и муниципальных учреждениях в информационно-телекоммуникационной</w:t>
      </w:r>
      <w:r w:rsid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сети «Интернет») (при наличии).</w:t>
      </w:r>
      <w:proofErr w:type="gramEnd"/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орган исполнительной власт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Российской Федерации.</w:t>
      </w:r>
    </w:p>
    <w:sectPr w:rsidR="00960679" w:rsidRPr="00982533" w:rsidSect="00710D8F">
      <w:headerReference w:type="first" r:id="rId12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A8" w:rsidRDefault="009E03A8" w:rsidP="00850D0B">
      <w:pPr>
        <w:spacing w:after="0" w:line="240" w:lineRule="auto"/>
      </w:pPr>
      <w:r>
        <w:separator/>
      </w:r>
    </w:p>
  </w:endnote>
  <w:endnote w:type="continuationSeparator" w:id="0">
    <w:p w:rsidR="009E03A8" w:rsidRDefault="009E03A8" w:rsidP="0085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A8" w:rsidRDefault="009E03A8" w:rsidP="00850D0B">
      <w:pPr>
        <w:spacing w:after="0" w:line="240" w:lineRule="auto"/>
      </w:pPr>
      <w:r>
        <w:separator/>
      </w:r>
    </w:p>
  </w:footnote>
  <w:footnote w:type="continuationSeparator" w:id="0">
    <w:p w:rsidR="009E03A8" w:rsidRDefault="009E03A8" w:rsidP="0085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2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3A8" w:rsidRPr="009E03A8" w:rsidRDefault="009E03A8">
        <w:pPr>
          <w:pStyle w:val="a5"/>
          <w:jc w:val="center"/>
          <w:rPr>
            <w:sz w:val="20"/>
            <w:szCs w:val="20"/>
          </w:rPr>
        </w:pPr>
        <w:r w:rsidRPr="009E03A8">
          <w:rPr>
            <w:sz w:val="20"/>
            <w:szCs w:val="20"/>
          </w:rPr>
          <w:fldChar w:fldCharType="begin"/>
        </w:r>
        <w:r w:rsidRPr="009E03A8">
          <w:rPr>
            <w:sz w:val="20"/>
            <w:szCs w:val="20"/>
          </w:rPr>
          <w:instrText>PAGE   \* MERGEFORMAT</w:instrText>
        </w:r>
        <w:r w:rsidRPr="009E03A8">
          <w:rPr>
            <w:sz w:val="20"/>
            <w:szCs w:val="20"/>
          </w:rPr>
          <w:fldChar w:fldCharType="separate"/>
        </w:r>
        <w:r w:rsidR="00710D8F">
          <w:rPr>
            <w:noProof/>
            <w:sz w:val="20"/>
            <w:szCs w:val="20"/>
          </w:rPr>
          <w:t>35</w:t>
        </w:r>
        <w:r w:rsidRPr="009E03A8">
          <w:rPr>
            <w:sz w:val="20"/>
            <w:szCs w:val="20"/>
          </w:rPr>
          <w:fldChar w:fldCharType="end"/>
        </w:r>
      </w:p>
    </w:sdtContent>
  </w:sdt>
  <w:p w:rsidR="009E03A8" w:rsidRPr="00E41B41" w:rsidRDefault="009E03A8" w:rsidP="00C61F36">
    <w:pPr>
      <w:pStyle w:val="a5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A8" w:rsidRDefault="009E03A8">
    <w:pPr>
      <w:pStyle w:val="a5"/>
      <w:jc w:val="center"/>
    </w:pPr>
  </w:p>
  <w:p w:rsidR="009E03A8" w:rsidRDefault="009E03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F" w:rsidRDefault="00710D8F">
    <w:pPr>
      <w:pStyle w:val="a5"/>
      <w:jc w:val="center"/>
    </w:pPr>
  </w:p>
  <w:p w:rsidR="00710D8F" w:rsidRDefault="00710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43"/>
    <w:multiLevelType w:val="hybridMultilevel"/>
    <w:tmpl w:val="328EDD8A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F26"/>
    <w:multiLevelType w:val="hybridMultilevel"/>
    <w:tmpl w:val="529C9800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1163"/>
    <w:multiLevelType w:val="hybridMultilevel"/>
    <w:tmpl w:val="CE7E54EA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0D5F"/>
    <w:multiLevelType w:val="hybridMultilevel"/>
    <w:tmpl w:val="F742507C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43F01"/>
    <w:multiLevelType w:val="hybridMultilevel"/>
    <w:tmpl w:val="C9DCB8B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1B"/>
    <w:rsid w:val="00001675"/>
    <w:rsid w:val="00020DAB"/>
    <w:rsid w:val="00026564"/>
    <w:rsid w:val="0008557F"/>
    <w:rsid w:val="000D46C8"/>
    <w:rsid w:val="00111D3A"/>
    <w:rsid w:val="001260AC"/>
    <w:rsid w:val="00184B99"/>
    <w:rsid w:val="001A1552"/>
    <w:rsid w:val="001A60D2"/>
    <w:rsid w:val="001B0D0C"/>
    <w:rsid w:val="001B3690"/>
    <w:rsid w:val="001D34C1"/>
    <w:rsid w:val="001E4D60"/>
    <w:rsid w:val="00201C2C"/>
    <w:rsid w:val="00210C1E"/>
    <w:rsid w:val="00222AC8"/>
    <w:rsid w:val="002459D7"/>
    <w:rsid w:val="002927D1"/>
    <w:rsid w:val="00296589"/>
    <w:rsid w:val="002D4389"/>
    <w:rsid w:val="002F7643"/>
    <w:rsid w:val="00373787"/>
    <w:rsid w:val="00395408"/>
    <w:rsid w:val="003A63F5"/>
    <w:rsid w:val="003E48EB"/>
    <w:rsid w:val="00401C55"/>
    <w:rsid w:val="00433C48"/>
    <w:rsid w:val="00437D8C"/>
    <w:rsid w:val="004B55BB"/>
    <w:rsid w:val="004D481E"/>
    <w:rsid w:val="00583D2F"/>
    <w:rsid w:val="00592642"/>
    <w:rsid w:val="00595E3F"/>
    <w:rsid w:val="005B0E58"/>
    <w:rsid w:val="005C153E"/>
    <w:rsid w:val="00636B96"/>
    <w:rsid w:val="006514E0"/>
    <w:rsid w:val="0066156C"/>
    <w:rsid w:val="00677DC2"/>
    <w:rsid w:val="006805B7"/>
    <w:rsid w:val="00686435"/>
    <w:rsid w:val="00695009"/>
    <w:rsid w:val="006A4EB5"/>
    <w:rsid w:val="006A565E"/>
    <w:rsid w:val="006F225F"/>
    <w:rsid w:val="006F2752"/>
    <w:rsid w:val="00710D8F"/>
    <w:rsid w:val="0073586E"/>
    <w:rsid w:val="0074514B"/>
    <w:rsid w:val="007733FE"/>
    <w:rsid w:val="00787761"/>
    <w:rsid w:val="00850D0B"/>
    <w:rsid w:val="00875AF2"/>
    <w:rsid w:val="009008A8"/>
    <w:rsid w:val="00960679"/>
    <w:rsid w:val="00982533"/>
    <w:rsid w:val="00991AAE"/>
    <w:rsid w:val="009B491F"/>
    <w:rsid w:val="009E03A8"/>
    <w:rsid w:val="009E0FE5"/>
    <w:rsid w:val="00A20F99"/>
    <w:rsid w:val="00A47B34"/>
    <w:rsid w:val="00AF46B0"/>
    <w:rsid w:val="00AF62F4"/>
    <w:rsid w:val="00B32D01"/>
    <w:rsid w:val="00BF4709"/>
    <w:rsid w:val="00C06D8F"/>
    <w:rsid w:val="00C1556E"/>
    <w:rsid w:val="00C26533"/>
    <w:rsid w:val="00C61F36"/>
    <w:rsid w:val="00C6394E"/>
    <w:rsid w:val="00D113A1"/>
    <w:rsid w:val="00D55973"/>
    <w:rsid w:val="00D63EFB"/>
    <w:rsid w:val="00D65E1B"/>
    <w:rsid w:val="00DB48FD"/>
    <w:rsid w:val="00DF3C83"/>
    <w:rsid w:val="00E1662D"/>
    <w:rsid w:val="00E40856"/>
    <w:rsid w:val="00E41B41"/>
    <w:rsid w:val="00E61EE7"/>
    <w:rsid w:val="00EC5DEF"/>
    <w:rsid w:val="00EC7CAF"/>
    <w:rsid w:val="00EE1A33"/>
    <w:rsid w:val="00F57C5E"/>
    <w:rsid w:val="00F945BE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33"/>
    <w:rPr>
      <w:color w:val="800080"/>
      <w:u w:val="single"/>
    </w:rPr>
  </w:style>
  <w:style w:type="paragraph" w:customStyle="1" w:styleId="font5">
    <w:name w:val="font5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53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3">
    <w:name w:val="xl7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6">
    <w:name w:val="xl76"/>
    <w:basedOn w:val="a"/>
    <w:rsid w:val="00982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2">
    <w:name w:val="xl9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07">
    <w:name w:val="xl10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2">
    <w:name w:val="xl11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825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253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825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82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82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7">
    <w:name w:val="xl16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8">
    <w:name w:val="xl1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33"/>
    <w:rPr>
      <w:color w:val="800080"/>
      <w:u w:val="single"/>
    </w:rPr>
  </w:style>
  <w:style w:type="paragraph" w:customStyle="1" w:styleId="font5">
    <w:name w:val="font5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53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3">
    <w:name w:val="xl7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6">
    <w:name w:val="xl76"/>
    <w:basedOn w:val="a"/>
    <w:rsid w:val="00982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2">
    <w:name w:val="xl9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07">
    <w:name w:val="xl10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2">
    <w:name w:val="xl11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825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253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825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82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82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7">
    <w:name w:val="xl16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8">
    <w:name w:val="xl1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i.bistrova\AppData\Local\Microsoft\Windows\Temporary%20Internet%20Files\Content.MSO\F6144AA4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496F-5CE8-4FAF-8929-F2ABAD19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36</Pages>
  <Words>8764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Алевтина Ивановна</dc:creator>
  <cp:keywords/>
  <dc:description/>
  <cp:lastModifiedBy>Быстрова Алевтина Ивановна</cp:lastModifiedBy>
  <cp:revision>56</cp:revision>
  <cp:lastPrinted>2023-04-17T14:27:00Z</cp:lastPrinted>
  <dcterms:created xsi:type="dcterms:W3CDTF">2023-04-12T11:34:00Z</dcterms:created>
  <dcterms:modified xsi:type="dcterms:W3CDTF">2023-04-17T14:35:00Z</dcterms:modified>
</cp:coreProperties>
</file>